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CD75AF" w:rsidTr="00CD75AF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D75AF" w:rsidRDefault="001D4158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ПРИДОЛИННЫЙ</w:t>
            </w:r>
            <w:r w:rsidR="00CD75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D75AF" w:rsidTr="00CD75AF">
        <w:tc>
          <w:tcPr>
            <w:tcW w:w="9465" w:type="dxa"/>
            <w:gridSpan w:val="4"/>
          </w:tcPr>
          <w:p w:rsidR="00CD75AF" w:rsidRDefault="00CD75AF" w:rsidP="00CF196B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5AF" w:rsidTr="00CD75AF">
        <w:trPr>
          <w:cantSplit/>
        </w:trPr>
        <w:tc>
          <w:tcPr>
            <w:tcW w:w="4680" w:type="dxa"/>
          </w:tcPr>
          <w:p w:rsidR="00CD75AF" w:rsidRDefault="00CD75AF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5AF" w:rsidRDefault="00CD75AF" w:rsidP="001D415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415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  <w:hideMark/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5AF" w:rsidRDefault="00CD75AF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01/01-рс</w:t>
            </w:r>
          </w:p>
        </w:tc>
      </w:tr>
    </w:tbl>
    <w:p w:rsid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5AF" w:rsidRDefault="00CD020B" w:rsidP="00CD020B">
      <w:pPr>
        <w:widowControl w:val="0"/>
        <w:tabs>
          <w:tab w:val="left" w:pos="47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2" style="position:absolute;margin-left:219.25pt;margin-top:4.15pt;width:18.1pt;height:14.5pt;z-index:251659264" coordorigin="5773,5905" coordsize="362,290">
            <v:line id="_x0000_s1033" style="position:absolute" from="5773,5905" to="6133,5905" strokeweight="1pt">
              <v:stroke startarrowwidth="narrow" startarrowlength="short" endarrowwidth="narrow" endarrowlength="short"/>
            </v:line>
            <v:line id="_x0000_s1034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026" style="position:absolute;margin-left:.1pt;margin-top:.95pt;width:18.1pt;height:17.3pt;rotation:270;z-index:251658240" coordorigin="5773,5905" coordsize="362,290">
            <v:line id="_x0000_s1027" style="position:absolute" from="5773,5905" to="6133,5905" strokeweight="1pt">
              <v:stroke startarrowwidth="narrow" startarrowlength="short" endarrowwidth="narrow" endarrowlength="short"/>
            </v:line>
            <v:line id="_x0000_s1028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="00CD75AF" w:rsidRPr="00CD75AF">
        <w:rPr>
          <w:rFonts w:ascii="Times New Roman" w:hAnsi="Times New Roman"/>
          <w:sz w:val="28"/>
          <w:szCs w:val="28"/>
        </w:rPr>
        <w:t xml:space="preserve">Об избрании председателя Совета </w:t>
      </w:r>
      <w:r>
        <w:rPr>
          <w:rFonts w:ascii="Times New Roman" w:hAnsi="Times New Roman"/>
          <w:sz w:val="28"/>
          <w:szCs w:val="28"/>
        </w:rPr>
        <w:tab/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CD020B" w:rsidRDefault="001D4158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Придолинный</w:t>
      </w:r>
      <w:r w:rsidR="00CD75AF" w:rsidRPr="00CD75AF">
        <w:rPr>
          <w:rFonts w:ascii="Times New Roman" w:hAnsi="Times New Roman"/>
          <w:sz w:val="28"/>
          <w:szCs w:val="28"/>
        </w:rPr>
        <w:t xml:space="preserve"> сельсовет Ташлинского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>района Оренбургской области</w:t>
      </w: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5AF" w:rsidRPr="00CD75AF" w:rsidRDefault="00CD75AF" w:rsidP="00CD75AF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 xml:space="preserve">      Руководствуясь Федеральным законом РФ от 06.10.2003г. №131-ФЗ «Об общих принципах организации местного самоуправления в РФ», Уставом муниципального образования </w:t>
      </w:r>
      <w:r w:rsidR="001D4158">
        <w:rPr>
          <w:rFonts w:ascii="Times New Roman" w:hAnsi="Times New Roman"/>
          <w:sz w:val="28"/>
          <w:szCs w:val="28"/>
        </w:rPr>
        <w:t>Придолинный</w:t>
      </w:r>
      <w:r w:rsidRPr="00CD75AF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Регламентом Совета депутатов муниципального образования </w:t>
      </w:r>
      <w:r w:rsidR="001D4158">
        <w:rPr>
          <w:rFonts w:ascii="Times New Roman" w:hAnsi="Times New Roman"/>
          <w:sz w:val="28"/>
          <w:szCs w:val="28"/>
        </w:rPr>
        <w:t>Придолинный</w:t>
      </w:r>
      <w:r w:rsidRPr="00CD75AF">
        <w:rPr>
          <w:rFonts w:ascii="Times New Roman" w:hAnsi="Times New Roman"/>
          <w:sz w:val="28"/>
          <w:szCs w:val="28"/>
        </w:rPr>
        <w:t xml:space="preserve"> сельсовет</w:t>
      </w:r>
      <w:r w:rsidR="001D4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 w:rsidRPr="00CD75AF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 w:rsidR="001D4158">
        <w:rPr>
          <w:rFonts w:ascii="Times New Roman" w:hAnsi="Times New Roman"/>
          <w:sz w:val="28"/>
          <w:szCs w:val="28"/>
        </w:rPr>
        <w:t>Придолинный</w:t>
      </w:r>
      <w:r w:rsidRPr="00CD75AF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РЕШИЛ: </w:t>
      </w:r>
    </w:p>
    <w:p w:rsidR="00CD75AF" w:rsidRPr="00CD75AF" w:rsidRDefault="00CD75AF" w:rsidP="001D4158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br/>
        <w:t xml:space="preserve">1. Избрать председателя Совета депутатов муниципального образования </w:t>
      </w:r>
      <w:r w:rsidR="001D4158">
        <w:rPr>
          <w:rFonts w:ascii="Times New Roman" w:hAnsi="Times New Roman"/>
          <w:sz w:val="28"/>
          <w:szCs w:val="28"/>
        </w:rPr>
        <w:t>Придолинный</w:t>
      </w:r>
      <w:r w:rsidRPr="00CD75AF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99069C">
        <w:rPr>
          <w:rFonts w:ascii="Times New Roman" w:hAnsi="Times New Roman"/>
          <w:sz w:val="28"/>
          <w:szCs w:val="28"/>
        </w:rPr>
        <w:t>Матюшкина Николая Ивановича</w:t>
      </w:r>
      <w:r w:rsidR="001D66DA" w:rsidRPr="00F46A8E">
        <w:rPr>
          <w:rFonts w:ascii="Times New Roman" w:hAnsi="Times New Roman"/>
          <w:sz w:val="28"/>
          <w:szCs w:val="28"/>
        </w:rPr>
        <w:t>,</w:t>
      </w:r>
      <w:r w:rsidRPr="00F46A8E">
        <w:rPr>
          <w:rFonts w:ascii="Times New Roman" w:hAnsi="Times New Roman"/>
          <w:sz w:val="28"/>
          <w:szCs w:val="28"/>
        </w:rPr>
        <w:t xml:space="preserve"> депутата по одномандатному избирательному округу № </w:t>
      </w:r>
      <w:r w:rsidR="001D4158">
        <w:rPr>
          <w:rFonts w:ascii="Times New Roman" w:hAnsi="Times New Roman"/>
          <w:sz w:val="28"/>
          <w:szCs w:val="28"/>
        </w:rPr>
        <w:t>1</w:t>
      </w:r>
      <w:r w:rsidR="00DD745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F46A8E">
        <w:rPr>
          <w:rFonts w:ascii="Times New Roman" w:hAnsi="Times New Roman"/>
          <w:sz w:val="28"/>
          <w:szCs w:val="28"/>
        </w:rPr>
        <w:br/>
      </w:r>
      <w:r w:rsidRPr="00CD75AF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его официального обнародования. </w:t>
      </w:r>
      <w:r w:rsidRPr="00CD75AF">
        <w:rPr>
          <w:rFonts w:ascii="Times New Roman" w:hAnsi="Times New Roman"/>
          <w:sz w:val="28"/>
          <w:szCs w:val="28"/>
        </w:rPr>
        <w:br/>
      </w:r>
      <w:r w:rsidRPr="00CD75AF">
        <w:rPr>
          <w:rFonts w:ascii="Times New Roman" w:hAnsi="Times New Roman"/>
          <w:sz w:val="20"/>
          <w:szCs w:val="20"/>
        </w:rPr>
        <w:br/>
      </w:r>
    </w:p>
    <w:p w:rsidR="00CD75AF" w:rsidRPr="00CD75AF" w:rsidRDefault="00CD75AF" w:rsidP="00CD7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</w:t>
      </w:r>
      <w:r w:rsidR="001D4158">
        <w:rPr>
          <w:rFonts w:ascii="Times New Roman" w:hAnsi="Times New Roman"/>
          <w:sz w:val="28"/>
          <w:szCs w:val="28"/>
        </w:rPr>
        <w:t>Д.М.Горбунова</w:t>
      </w:r>
    </w:p>
    <w:p w:rsidR="00CD75AF" w:rsidRPr="00CD75AF" w:rsidRDefault="00CD75AF" w:rsidP="00CD7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3AA" w:rsidRDefault="006973AA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3AA" w:rsidRPr="00CD75AF" w:rsidRDefault="006973AA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5AF" w:rsidRPr="00CD75AF" w:rsidRDefault="00CD75AF" w:rsidP="00CD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CA4" w:rsidRDefault="00CD75AF" w:rsidP="0099069C">
      <w:pPr>
        <w:spacing w:after="0" w:line="240" w:lineRule="auto"/>
      </w:pPr>
      <w:r w:rsidRPr="00CD75AF">
        <w:rPr>
          <w:rFonts w:ascii="Times New Roman" w:hAnsi="Times New Roman"/>
          <w:sz w:val="28"/>
          <w:szCs w:val="28"/>
        </w:rPr>
        <w:t>Разослано: администрации района, прокурору района, для обнародования, в дело.</w:t>
      </w:r>
    </w:p>
    <w:sectPr w:rsidR="00885CA4" w:rsidSect="0077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316"/>
    <w:rsid w:val="001D4158"/>
    <w:rsid w:val="001D66DA"/>
    <w:rsid w:val="003F0316"/>
    <w:rsid w:val="00430D6F"/>
    <w:rsid w:val="0043187F"/>
    <w:rsid w:val="00443471"/>
    <w:rsid w:val="00612362"/>
    <w:rsid w:val="006973AA"/>
    <w:rsid w:val="00774D9E"/>
    <w:rsid w:val="007F437D"/>
    <w:rsid w:val="00852F91"/>
    <w:rsid w:val="00885CA4"/>
    <w:rsid w:val="0099069C"/>
    <w:rsid w:val="00AE0FC9"/>
    <w:rsid w:val="00C1784D"/>
    <w:rsid w:val="00CD020B"/>
    <w:rsid w:val="00CD75AF"/>
    <w:rsid w:val="00DC48DC"/>
    <w:rsid w:val="00DD745E"/>
    <w:rsid w:val="00F4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13</cp:revision>
  <cp:lastPrinted>2020-11-25T11:08:00Z</cp:lastPrinted>
  <dcterms:created xsi:type="dcterms:W3CDTF">2020-10-02T06:42:00Z</dcterms:created>
  <dcterms:modified xsi:type="dcterms:W3CDTF">2020-11-25T11:08:00Z</dcterms:modified>
</cp:coreProperties>
</file>