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553"/>
        <w:gridCol w:w="855"/>
        <w:gridCol w:w="2263"/>
        <w:gridCol w:w="924"/>
        <w:gridCol w:w="867"/>
        <w:gridCol w:w="6465"/>
      </w:tblGrid>
      <w:tr w:rsidR="00F53088" w:rsidRPr="00590639" w:rsidTr="00210647">
        <w:trPr>
          <w:trHeight w:val="617"/>
        </w:trPr>
        <w:tc>
          <w:tcPr>
            <w:tcW w:w="13927" w:type="dxa"/>
            <w:gridSpan w:val="6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53088" w:rsidRPr="00F53088" w:rsidRDefault="00F53088" w:rsidP="00A0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Внесение изменений в </w:t>
            </w:r>
            <w:r w:rsidR="00A06C41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ПРОЕКТ Решения 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Совета депутатов от </w:t>
            </w:r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03.12.2020 №03/13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--</w:t>
            </w:r>
            <w:proofErr w:type="spellStart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рс</w:t>
            </w:r>
            <w:proofErr w:type="spellEnd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"О бюджете муни</w:t>
            </w:r>
            <w:r w:rsidR="00210647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ципального образования </w:t>
            </w:r>
            <w:proofErr w:type="spellStart"/>
            <w:r w:rsidR="00210647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Придолинный</w:t>
            </w:r>
            <w:proofErr w:type="spellEnd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сельсовет </w:t>
            </w:r>
            <w:proofErr w:type="spellStart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Ташлинского</w:t>
            </w:r>
            <w:proofErr w:type="spellEnd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района Оренбургской области на 202</w:t>
            </w:r>
            <w:r w:rsidR="00A06C41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1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год и плановый период 202</w:t>
            </w:r>
            <w:r w:rsidR="00A06C41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2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и 202</w:t>
            </w:r>
            <w:r w:rsidR="00A06C41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3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годов"</w:t>
            </w:r>
          </w:p>
        </w:tc>
      </w:tr>
      <w:tr w:rsidR="00F53088" w:rsidRPr="00F53088" w:rsidTr="00210647">
        <w:trPr>
          <w:trHeight w:val="857"/>
        </w:trPr>
        <w:tc>
          <w:tcPr>
            <w:tcW w:w="3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ПРОЕКТ Решения 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Совета депутатов от </w:t>
            </w:r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03.12.2020  03/13-р</w:t>
            </w:r>
            <w:proofErr w:type="gramStart"/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с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-</w:t>
            </w:r>
            <w:proofErr w:type="gramEnd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-</w:t>
            </w:r>
            <w:proofErr w:type="spellStart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рс</w:t>
            </w:r>
            <w:proofErr w:type="spellEnd"/>
          </w:p>
        </w:tc>
        <w:tc>
          <w:tcPr>
            <w:tcW w:w="31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5906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Внесение изменений в ПРОЕКТ Решения 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Совета депутатов от </w:t>
            </w:r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03.12.202о </w:t>
            </w:r>
            <w:proofErr w:type="gramStart"/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г</w:t>
            </w:r>
            <w:proofErr w:type="gramEnd"/>
            <w:r w:rsidR="00590639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 xml:space="preserve"> №03/13</w:t>
            </w: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--</w:t>
            </w:r>
            <w:proofErr w:type="spellStart"/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lang w:val="ru-RU" w:bidi="ar-SA"/>
              </w:rPr>
              <w:t>рс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отклонение +;-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Примечание</w:t>
            </w: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КБК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сумма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КБК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сумма</w:t>
            </w:r>
          </w:p>
        </w:tc>
        <w:tc>
          <w:tcPr>
            <w:tcW w:w="8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64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2021</w:t>
            </w:r>
          </w:p>
        </w:tc>
        <w:tc>
          <w:tcPr>
            <w:tcW w:w="22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2021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2021</w:t>
            </w:r>
          </w:p>
        </w:tc>
        <w:tc>
          <w:tcPr>
            <w:tcW w:w="64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ДОХОДЫ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210647" w:rsidRPr="00590639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111, 20229999 10 0000 15</w:t>
            </w:r>
            <w:r w:rsidRPr="00F53088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B7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111, 20229999 10 0000 15</w:t>
            </w:r>
            <w:r w:rsidRPr="00F53088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350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+350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 xml:space="preserve">Субсидии из областного бюджета для реализации инициативного проекта «Устройство ограждения территории санитарной зоны водозаборной скважины и резервуара для воды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ридолинный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»</w:t>
            </w:r>
          </w:p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210647" w:rsidRPr="00590639" w:rsidTr="00210647">
        <w:trPr>
          <w:trHeight w:val="46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111,117 15030 10 0010 150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A06C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B7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111,117 15030 10 0010 150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106,5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+106,50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 xml:space="preserve">Инициативные платежи от спонсоров и населения на реализации инициативного проекта «Устройство ограждения территории санитарной зоны водозаборной скважины и резервуара для воды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ридолинный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»</w:t>
            </w: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Итого доходов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A06C41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590639" w:rsidP="00A06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456,5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590639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+456,5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F53088"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РАСХОДЫ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</w:tr>
      <w:tr w:rsidR="00210647" w:rsidRPr="00590639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111,0104,1000110030</w:t>
            </w:r>
            <w:r w:rsidRPr="00E421C0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,240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210647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ab/>
              <w:t>673,3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B70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111,0104,1000110030</w:t>
            </w:r>
            <w:r w:rsidRPr="00E421C0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,240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631,4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-41,9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 w:rsidP="00C92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C92E29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Ассигнования передвинуты на реализацию инициативного проекта</w:t>
            </w:r>
          </w:p>
        </w:tc>
      </w:tr>
      <w:tr w:rsidR="00210647" w:rsidRPr="00590639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111</w:t>
            </w:r>
            <w:r w:rsidRPr="00E421C0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,0503,0400493290,240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28,1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B7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111</w:t>
            </w:r>
            <w:r w:rsidRPr="00E421C0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lang w:val="ru-RU" w:bidi="ar-SA"/>
              </w:rPr>
              <w:t>,0503,0400493290,240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-28,1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C92E29" w:rsidRDefault="00210647">
            <w:pPr>
              <w:rPr>
                <w:lang w:val="ru-RU"/>
              </w:rPr>
            </w:pPr>
            <w:r w:rsidRPr="00237161">
              <w:rPr>
                <w:rFonts w:ascii="Times New Roman" w:hAnsi="Times New Roman" w:cs="Times New Roman"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Ассигнования передвинуты на реализацию инициативного проекта</w:t>
            </w:r>
          </w:p>
        </w:tc>
      </w:tr>
      <w:tr w:rsidR="00210647" w:rsidRPr="00590639" w:rsidTr="00210647">
        <w:trPr>
          <w:trHeight w:val="480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2106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 xml:space="preserve">,0502,08 0 П5 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bidi="ar-SA"/>
              </w:rPr>
              <w:t>S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1400,240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0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E421C0" w:rsidRDefault="00210647" w:rsidP="00B70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111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 xml:space="preserve">,0502,08 0 П5 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bidi="ar-SA"/>
              </w:rPr>
              <w:t>S</w:t>
            </w:r>
            <w:r w:rsidRPr="00E421C0"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1400,240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526,5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+526,5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0647" w:rsidRPr="00F53088" w:rsidRDefault="00210647" w:rsidP="000F4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color w:val="000000"/>
                <w:sz w:val="16"/>
                <w:szCs w:val="16"/>
                <w:lang w:val="ru-RU" w:bidi="ar-SA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6"/>
                <w:szCs w:val="16"/>
                <w:lang w:val="ru-RU" w:bidi="ar-SA"/>
              </w:rPr>
              <w:t xml:space="preserve">Реализация инициативного проекта </w:t>
            </w: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 xml:space="preserve">«Устройство ограждения территории санитарной зоны водозаборной скважины и резервуара для воды </w:t>
            </w:r>
            <w:proofErr w:type="spell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ридолинный</w:t>
            </w:r>
            <w:proofErr w:type="spellEnd"/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»</w:t>
            </w: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val="ru-RU" w:bidi="ar-SA"/>
              </w:rPr>
            </w:pPr>
            <w:r w:rsidRPr="00F53088">
              <w:rPr>
                <w:rFonts w:ascii="Arial" w:hAnsi="Arial" w:cs="Arial"/>
                <w:b/>
                <w:bCs/>
                <w:i w:val="0"/>
                <w:iCs w:val="0"/>
                <w:color w:val="000000"/>
                <w:lang w:val="ru-RU" w:bidi="ar-SA"/>
              </w:rPr>
              <w:t>Всего расходов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701,4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1157,9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210647" w:rsidP="00F530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</w:pPr>
            <w:r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  <w:lang w:val="ru-RU" w:bidi="ar-SA"/>
              </w:rPr>
              <w:t>+456,5</w:t>
            </w:r>
          </w:p>
        </w:tc>
        <w:tc>
          <w:tcPr>
            <w:tcW w:w="6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 w:val="0"/>
                <w:iCs w:val="0"/>
                <w:color w:val="000000"/>
                <w:sz w:val="16"/>
                <w:szCs w:val="16"/>
                <w:lang w:val="ru-RU" w:bidi="ar-SA"/>
              </w:rPr>
            </w:pPr>
          </w:p>
        </w:tc>
      </w:tr>
      <w:tr w:rsidR="00F53088" w:rsidRPr="00F53088" w:rsidTr="00210647">
        <w:trPr>
          <w:trHeight w:val="247"/>
        </w:trPr>
        <w:tc>
          <w:tcPr>
            <w:tcW w:w="2553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2263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867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6465" w:type="dxa"/>
            <w:tcBorders>
              <w:top w:val="single" w:sz="4" w:space="0" w:color="auto"/>
            </w:tcBorders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</w:tr>
      <w:tr w:rsidR="00F53088" w:rsidRPr="00F53088" w:rsidTr="00210647">
        <w:trPr>
          <w:trHeight w:val="266"/>
        </w:trPr>
        <w:tc>
          <w:tcPr>
            <w:tcW w:w="2553" w:type="dxa"/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855" w:type="dxa"/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</w:p>
        </w:tc>
        <w:tc>
          <w:tcPr>
            <w:tcW w:w="10519" w:type="dxa"/>
            <w:gridSpan w:val="4"/>
          </w:tcPr>
          <w:p w:rsidR="00F53088" w:rsidRPr="00F53088" w:rsidRDefault="00F53088" w:rsidP="00F5308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</w:pPr>
            <w:r w:rsidRPr="00F53088"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  <w:t xml:space="preserve">Бухгалтер                                                    </w:t>
            </w:r>
            <w:proofErr w:type="spellStart"/>
            <w:r w:rsidRPr="00F53088">
              <w:rPr>
                <w:rFonts w:ascii="Arial" w:hAnsi="Arial" w:cs="Arial"/>
                <w:i w:val="0"/>
                <w:iCs w:val="0"/>
                <w:color w:val="000000"/>
                <w:lang w:val="ru-RU" w:bidi="ar-SA"/>
              </w:rPr>
              <w:t>Г.П.Олиниченко</w:t>
            </w:r>
            <w:proofErr w:type="spellEnd"/>
          </w:p>
        </w:tc>
      </w:tr>
    </w:tbl>
    <w:p w:rsidR="00266284" w:rsidRDefault="00266284"/>
    <w:sectPr w:rsidR="00266284" w:rsidSect="00F5308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53088"/>
    <w:rsid w:val="000F4D56"/>
    <w:rsid w:val="00176EDA"/>
    <w:rsid w:val="00210647"/>
    <w:rsid w:val="00266284"/>
    <w:rsid w:val="00424C25"/>
    <w:rsid w:val="00463184"/>
    <w:rsid w:val="00590639"/>
    <w:rsid w:val="00A06C41"/>
    <w:rsid w:val="00C92E29"/>
    <w:rsid w:val="00D01E99"/>
    <w:rsid w:val="00E421C0"/>
    <w:rsid w:val="00E502CF"/>
    <w:rsid w:val="00F5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2020-12-16T07:14:00Z</dcterms:created>
  <dcterms:modified xsi:type="dcterms:W3CDTF">2020-12-16T11:14:00Z</dcterms:modified>
</cp:coreProperties>
</file>