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961"/>
        <w:gridCol w:w="4534"/>
      </w:tblGrid>
      <w:tr w:rsidR="006E0518" w:rsidTr="006E0518">
        <w:trPr>
          <w:trHeight w:hRule="exact" w:val="3686"/>
        </w:trPr>
        <w:tc>
          <w:tcPr>
            <w:tcW w:w="4397" w:type="dxa"/>
          </w:tcPr>
          <w:p w:rsidR="006E0518" w:rsidRDefault="006E05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tbl>
            <w:tblPr>
              <w:tblW w:w="483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0"/>
              <w:gridCol w:w="1586"/>
              <w:gridCol w:w="1442"/>
              <w:gridCol w:w="717"/>
              <w:gridCol w:w="725"/>
            </w:tblGrid>
            <w:tr w:rsidR="006E0518">
              <w:trPr>
                <w:gridAfter w:val="1"/>
                <w:wAfter w:w="726" w:type="dxa"/>
              </w:trPr>
              <w:tc>
                <w:tcPr>
                  <w:tcW w:w="4111" w:type="dxa"/>
                  <w:gridSpan w:val="4"/>
                </w:tcPr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муниципального образования</w:t>
                  </w: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Придолинный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сельсовет</w:t>
                  </w: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района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br/>
                    <w:t xml:space="preserve">   Оренбургской области</w:t>
                  </w: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О С Т А Н О В Л Е Н И Е</w:t>
                  </w: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518">
              <w:trPr>
                <w:gridBefore w:val="1"/>
                <w:wBefore w:w="36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6E0518" w:rsidRDefault="006E0518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17.02.2014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г</w:t>
                  </w:r>
                </w:p>
              </w:tc>
              <w:tc>
                <w:tcPr>
                  <w:tcW w:w="1444" w:type="dxa"/>
                  <w:hideMark/>
                </w:tcPr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en-US"/>
                    </w:rPr>
                    <w:t>№</w:t>
                  </w:r>
                </w:p>
              </w:tc>
              <w:tc>
                <w:tcPr>
                  <w:tcW w:w="1444" w:type="dxa"/>
                  <w:gridSpan w:val="2"/>
                  <w:hideMark/>
                </w:tcPr>
                <w:p w:rsidR="006E0518" w:rsidRDefault="006E0518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eastAsia="en-US"/>
                    </w:rPr>
                    <w:t>9-п</w:t>
                  </w:r>
                </w:p>
              </w:tc>
            </w:tr>
            <w:tr w:rsidR="006E0518">
              <w:trPr>
                <w:gridAfter w:val="1"/>
                <w:wAfter w:w="726" w:type="dxa"/>
                <w:trHeight w:val="348"/>
              </w:trPr>
              <w:tc>
                <w:tcPr>
                  <w:tcW w:w="4111" w:type="dxa"/>
                  <w:gridSpan w:val="4"/>
                </w:tcPr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П.Придолинный</w:t>
                  </w:r>
                  <w:proofErr w:type="spellEnd"/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6E0518" w:rsidRDefault="006E0518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63" w:type="dxa"/>
          </w:tcPr>
          <w:p w:rsidR="006E0518" w:rsidRDefault="006E05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E0518" w:rsidRDefault="006E05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E0518" w:rsidRDefault="006E05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hideMark/>
          </w:tcPr>
          <w:p w:rsidR="006E0518" w:rsidRDefault="006E0518">
            <w:pPr>
              <w:pStyle w:val="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E0518" w:rsidRDefault="006E0518">
            <w:pPr>
              <w:spacing w:line="276" w:lineRule="auto"/>
              <w:ind w:firstLine="21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5" w:right="354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6E0518" w:rsidTr="006E0518">
        <w:trPr>
          <w:trHeight w:val="363"/>
        </w:trPr>
        <w:tc>
          <w:tcPr>
            <w:tcW w:w="4397" w:type="dxa"/>
          </w:tcPr>
          <w:p w:rsidR="006E0518" w:rsidRDefault="006E05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0518" w:rsidRDefault="008B54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B5479">
              <w:rPr>
                <w:lang w:eastAsia="en-US"/>
              </w:rPr>
              <w:pict>
                <v:line id="_x0000_s1027" style="position:absolute;z-index:251659264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8B5479">
              <w:rPr>
                <w:lang w:eastAsia="en-US"/>
              </w:rPr>
              <w:pict>
                <v:line id="_x0000_s1026" style="position:absolute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6E0518">
              <w:rPr>
                <w:sz w:val="28"/>
                <w:szCs w:val="28"/>
                <w:lang w:eastAsia="en-US"/>
              </w:rPr>
              <w:t xml:space="preserve">Об утверждении муниципальной  программы  «Противодействие коррупции в  администрации  </w:t>
            </w:r>
            <w:proofErr w:type="spellStart"/>
            <w:r w:rsidR="006E0518">
              <w:rPr>
                <w:sz w:val="28"/>
                <w:szCs w:val="28"/>
                <w:lang w:eastAsia="en-US"/>
              </w:rPr>
              <w:t>Придолинного</w:t>
            </w:r>
            <w:proofErr w:type="spellEnd"/>
            <w:r w:rsidR="006E0518">
              <w:rPr>
                <w:sz w:val="28"/>
                <w:szCs w:val="28"/>
                <w:lang w:eastAsia="en-US"/>
              </w:rPr>
              <w:t xml:space="preserve"> сельсовета на 2014 – 2015 гг.»</w:t>
            </w:r>
          </w:p>
          <w:p w:rsidR="006E0518" w:rsidRDefault="006E05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03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</w:tcPr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536" w:type="dxa"/>
          </w:tcPr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6E0518" w:rsidRDefault="006E0518" w:rsidP="006E0518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06.10.2003 г. №131 – ФЗ «Об общих принципах организации местного самоуправления в Российской Федерации», Закона Оренбургской области от 15.09.2008 г. №2369/497 -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- 03 « О профилактике коррупции в Оренбургской области», руководствуясь Уставом муниципального образования 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6E0518" w:rsidRDefault="006E0518" w:rsidP="006E0518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E0518" w:rsidRDefault="006E0518" w:rsidP="006E0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«Противодействие коррупции в администрации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 на 2014 – 2015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», согласно приложению.</w:t>
      </w:r>
    </w:p>
    <w:p w:rsidR="006E0518" w:rsidRDefault="006E0518" w:rsidP="006E0518">
      <w:pPr>
        <w:shd w:val="clear" w:color="auto" w:fill="FFFFFF"/>
        <w:spacing w:line="322" w:lineRule="exact"/>
        <w:ind w:left="720" w:right="29"/>
        <w:jc w:val="both"/>
        <w:rPr>
          <w:sz w:val="28"/>
          <w:szCs w:val="28"/>
        </w:rPr>
      </w:pPr>
    </w:p>
    <w:p w:rsidR="006E0518" w:rsidRDefault="006E0518" w:rsidP="006E0518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6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Свиридову Т.Н.. – специалиста 1 категории администрации сельсовета. </w:t>
      </w:r>
    </w:p>
    <w:p w:rsidR="006E0518" w:rsidRDefault="006E0518" w:rsidP="006E0518">
      <w:pPr>
        <w:shd w:val="clear" w:color="auto" w:fill="FFFFFF"/>
        <w:tabs>
          <w:tab w:val="left" w:pos="1416"/>
        </w:tabs>
        <w:spacing w:line="322" w:lineRule="exact"/>
        <w:ind w:left="720" w:right="19"/>
        <w:jc w:val="both"/>
        <w:rPr>
          <w:spacing w:val="-16"/>
          <w:sz w:val="28"/>
          <w:szCs w:val="28"/>
        </w:rPr>
      </w:pPr>
    </w:p>
    <w:p w:rsidR="006E0518" w:rsidRDefault="006E0518" w:rsidP="006E0518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rPr>
          <w:spacing w:val="-11"/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E0518" w:rsidRDefault="006E0518" w:rsidP="006E0518">
      <w:pPr>
        <w:shd w:val="clear" w:color="auto" w:fill="FFFFFF"/>
        <w:spacing w:line="322" w:lineRule="exact"/>
        <w:ind w:left="360" w:right="29"/>
        <w:jc w:val="both"/>
        <w:rPr>
          <w:sz w:val="28"/>
          <w:szCs w:val="28"/>
        </w:rPr>
      </w:pPr>
    </w:p>
    <w:p w:rsidR="006E0518" w:rsidRDefault="006E0518" w:rsidP="006E0518">
      <w:pPr>
        <w:shd w:val="clear" w:color="auto" w:fill="FFFFFF"/>
        <w:tabs>
          <w:tab w:val="left" w:pos="7195"/>
        </w:tabs>
        <w:spacing w:before="994"/>
        <w:ind w:left="14"/>
        <w:rPr>
          <w:sz w:val="20"/>
          <w:szCs w:val="20"/>
        </w:rPr>
      </w:pPr>
      <w:r>
        <w:rPr>
          <w:spacing w:val="-2"/>
          <w:sz w:val="28"/>
          <w:szCs w:val="28"/>
        </w:rPr>
        <w:t>Глава  администрации                                                          Д.М.Горбунова</w:t>
      </w:r>
    </w:p>
    <w:p w:rsidR="006E0518" w:rsidRDefault="006E0518" w:rsidP="006E0518">
      <w:pPr>
        <w:shd w:val="clear" w:color="auto" w:fill="FFFFFF"/>
        <w:spacing w:before="480" w:line="331" w:lineRule="exact"/>
        <w:ind w:left="24"/>
        <w:rPr>
          <w:sz w:val="28"/>
          <w:szCs w:val="28"/>
        </w:rPr>
      </w:pPr>
      <w:r>
        <w:rPr>
          <w:sz w:val="28"/>
          <w:szCs w:val="28"/>
        </w:rPr>
        <w:t>Разослано:   администрации района,   прокурору  района,  в дело.</w:t>
      </w:r>
    </w:p>
    <w:p w:rsidR="006E0518" w:rsidRDefault="006E0518" w:rsidP="006E0518">
      <w:pPr>
        <w:shd w:val="clear" w:color="auto" w:fill="FFFFFF"/>
        <w:spacing w:before="480" w:line="331" w:lineRule="exact"/>
        <w:ind w:left="24"/>
        <w:rPr>
          <w:sz w:val="28"/>
          <w:szCs w:val="28"/>
        </w:rPr>
      </w:pPr>
    </w:p>
    <w:p w:rsidR="006E0518" w:rsidRDefault="006E0518" w:rsidP="006E0518">
      <w:pPr>
        <w:shd w:val="clear" w:color="auto" w:fill="FFFFFF"/>
        <w:spacing w:before="480" w:line="331" w:lineRule="exact"/>
        <w:ind w:left="24"/>
        <w:rPr>
          <w:sz w:val="28"/>
          <w:szCs w:val="28"/>
        </w:rPr>
      </w:pP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6E0518" w:rsidRDefault="006E0518" w:rsidP="006E05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6E0518" w:rsidRDefault="006E0518" w:rsidP="006E05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от 17.02.2014 №     9 -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 программа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«Противодействие коррупции 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Придолинный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сельсовет </w:t>
      </w:r>
      <w:r>
        <w:rPr>
          <w:rFonts w:ascii="Times New Roman" w:hAnsi="Times New Roman" w:cs="Times New Roman"/>
          <w:sz w:val="32"/>
          <w:szCs w:val="32"/>
        </w:rPr>
        <w:t>на 2014–2015 годы»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6E0518" w:rsidRDefault="006E0518" w:rsidP="006E0518">
      <w:pPr>
        <w:pStyle w:val="ConsPlusTitle"/>
        <w:widowControl/>
        <w:ind w:left="56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</w:p>
    <w:p w:rsidR="006E0518" w:rsidRDefault="006E0518" w:rsidP="006E05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«Противодействие коррупции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2014–2015 годы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</w:p>
    <w:p w:rsidR="006E0518" w:rsidRDefault="006E0518" w:rsidP="006E0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0518" w:rsidRDefault="006E0518" w:rsidP="006E05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0518" w:rsidRDefault="006E0518" w:rsidP="006E051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3723"/>
        <w:gridCol w:w="236"/>
        <w:gridCol w:w="5971"/>
      </w:tblGrid>
      <w:tr w:rsidR="006E0518" w:rsidTr="006E0518"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для разработки            </w:t>
            </w:r>
          </w:p>
          <w:p w:rsidR="006E0518" w:rsidRDefault="006E051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67" w:type="dxa"/>
            <w:hideMark/>
          </w:tcPr>
          <w:p w:rsidR="006E0518" w:rsidRDefault="006E0518">
            <w:pPr>
              <w:pStyle w:val="a3"/>
              <w:snapToGrid w:val="0"/>
              <w:spacing w:line="200" w:lineRule="atLeast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Программа разработана в связи с принятием Закона Оренбургской области от 15.09.2008г. № 2369/497-1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>-ОЗ «О профилактике коррупции в Оренбургской области»</w:t>
            </w:r>
          </w:p>
        </w:tc>
      </w:tr>
      <w:tr w:rsidR="006E0518" w:rsidTr="006E0518">
        <w:trPr>
          <w:trHeight w:val="708"/>
        </w:trPr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 заказчик –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67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Придолинный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Оренбургской области    </w:t>
            </w:r>
          </w:p>
        </w:tc>
      </w:tr>
      <w:tr w:rsidR="006E0518" w:rsidTr="006E0518"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разработчик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                          </w:t>
            </w: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67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Придолинный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6E0518" w:rsidTr="006E0518"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мероприятий  Программы                                   </w:t>
            </w: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67" w:type="dxa"/>
          </w:tcPr>
          <w:p w:rsidR="006E0518" w:rsidRDefault="006E0518">
            <w:pPr>
              <w:shd w:val="clear" w:color="auto" w:fill="FFFFFF"/>
              <w:spacing w:line="298" w:lineRule="exact"/>
              <w:ind w:right="14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образования,</w:t>
            </w:r>
          </w:p>
          <w:p w:rsidR="006E0518" w:rsidRDefault="006E0518">
            <w:pPr>
              <w:shd w:val="clear" w:color="auto" w:fill="FFFFFF"/>
              <w:tabs>
                <w:tab w:val="left" w:pos="5755"/>
              </w:tabs>
              <w:spacing w:line="293" w:lineRule="exact"/>
              <w:ind w:right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местного самоуправления, комиссия по соблюдению требований к служебному поведению.</w:t>
            </w:r>
          </w:p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</w:tc>
      </w:tr>
      <w:tr w:rsidR="006E0518" w:rsidTr="006E0518"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и  задачи Программы         </w:t>
            </w: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67" w:type="dxa"/>
            <w:hideMark/>
          </w:tcPr>
          <w:p w:rsidR="006E0518" w:rsidRDefault="006E0518">
            <w:pPr>
              <w:pStyle w:val="ConsPlusNonformat"/>
              <w:widowControl/>
              <w:spacing w:line="276" w:lineRule="auto"/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Противодействие и устранение причин, порождающих коррупцию, и способствующих ее проявлению, вовлечение гражданского общества в реализацию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политики,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образование и пропаганда, пресечение коррупционных правонарушений и привлечение виновных лиц к ответственности. </w:t>
            </w:r>
          </w:p>
        </w:tc>
      </w:tr>
      <w:tr w:rsidR="006E0518" w:rsidTr="006E0518">
        <w:tc>
          <w:tcPr>
            <w:tcW w:w="3720" w:type="dxa"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67" w:type="dxa"/>
          </w:tcPr>
          <w:p w:rsidR="006E0518" w:rsidRDefault="006E0518">
            <w:pPr>
              <w:pStyle w:val="ConsPlusNonformat"/>
              <w:widowControl/>
              <w:spacing w:line="276" w:lineRule="auto"/>
              <w:ind w:left="-27"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518" w:rsidTr="006E0518"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67" w:type="dxa"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2014–2015 годы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0518" w:rsidTr="006E0518"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и источник 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финансирования Программы                        </w:t>
            </w:r>
          </w:p>
        </w:tc>
        <w:tc>
          <w:tcPr>
            <w:tcW w:w="236" w:type="dxa"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ind w:left="-27"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67" w:type="dxa"/>
            <w:hideMark/>
          </w:tcPr>
          <w:p w:rsidR="006E0518" w:rsidRDefault="006E0518">
            <w:pPr>
              <w:pStyle w:val="ConsPlusNonformat"/>
              <w:widowControl/>
              <w:spacing w:line="276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программы в пределах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ассигнований бюджетных расходов исполнителей основных мероприятий Программы</w:t>
            </w:r>
            <w:proofErr w:type="gramEnd"/>
          </w:p>
        </w:tc>
      </w:tr>
      <w:tr w:rsidR="006E0518" w:rsidTr="006E0518">
        <w:tc>
          <w:tcPr>
            <w:tcW w:w="3720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Важнейшие целевые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индикаторы и показатели</w:t>
            </w:r>
          </w:p>
        </w:tc>
        <w:tc>
          <w:tcPr>
            <w:tcW w:w="236" w:type="dxa"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ind w:left="-27"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ind w:left="-27"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5967" w:type="dxa"/>
            <w:hideMark/>
          </w:tcPr>
          <w:tbl>
            <w:tblPr>
              <w:tblW w:w="5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54"/>
              <w:gridCol w:w="1115"/>
              <w:gridCol w:w="989"/>
              <w:gridCol w:w="992"/>
            </w:tblGrid>
            <w:tr w:rsidR="006E0518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ind w:left="-8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lastRenderedPageBreak/>
                    <w:t>Показатель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518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ind w:left="-8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lastRenderedPageBreak/>
                    <w:t xml:space="preserve">повысить эффективность системы профилактики коррупционных правонарушений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да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518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ind w:left="-80" w:right="-88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обеспечить нормативное правовое регулирование профилактики коррупционных правонарушений 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100%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518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ind w:left="-80" w:right="-88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уменьшить общее число совершаемых правонарушений путем пресечения коррупционных правонарушений и привлечения к ответственности виновных лиц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100%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518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ind w:left="-80" w:right="-88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повысить уровень доверия населения к органам местного самоуправления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да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518" w:rsidRDefault="006E0518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E0518" w:rsidRDefault="006E0518">
            <w:pPr>
              <w:pStyle w:val="ConsPlusNonformat"/>
              <w:widowControl/>
              <w:spacing w:line="276" w:lineRule="auto"/>
              <w:ind w:hanging="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E0518" w:rsidTr="006E0518">
        <w:tc>
          <w:tcPr>
            <w:tcW w:w="3720" w:type="dxa"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Ожидаемые результаты   реализации Программы                        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 </w:t>
            </w:r>
          </w:p>
        </w:tc>
        <w:tc>
          <w:tcPr>
            <w:tcW w:w="5967" w:type="dxa"/>
            <w:hideMark/>
          </w:tcPr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программы позволит: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      </w:r>
          </w:p>
        </w:tc>
      </w:tr>
      <w:tr w:rsidR="006E0518" w:rsidTr="006E0518">
        <w:tc>
          <w:tcPr>
            <w:tcW w:w="3720" w:type="dxa"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ходом 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Программы</w:t>
            </w:r>
          </w:p>
          <w:p w:rsidR="006E0518" w:rsidRDefault="006E051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5967" w:type="dxa"/>
            <w:hideMark/>
          </w:tcPr>
          <w:p w:rsidR="006E0518" w:rsidRDefault="006E051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Ход реализации   программы  рассматривается  на  заседаниях  Совета по 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коррупции</w:t>
            </w:r>
          </w:p>
        </w:tc>
      </w:tr>
    </w:tbl>
    <w:p w:rsidR="006E0518" w:rsidRDefault="006E0518" w:rsidP="006E0518">
      <w:pPr>
        <w:pStyle w:val="ConsPlusNormal"/>
        <w:widowControl/>
        <w:jc w:val="center"/>
      </w:pPr>
    </w:p>
    <w:p w:rsidR="006E0518" w:rsidRDefault="006E0518" w:rsidP="006E0518">
      <w:pPr>
        <w:rPr>
          <w:sz w:val="28"/>
          <w:szCs w:val="28"/>
        </w:rPr>
        <w:sectPr w:rsidR="006E0518">
          <w:pgSz w:w="11906" w:h="16838"/>
          <w:pgMar w:top="719" w:right="850" w:bottom="1134" w:left="1701" w:header="708" w:footer="708" w:gutter="0"/>
          <w:cols w:space="720"/>
        </w:sectPr>
      </w:pPr>
    </w:p>
    <w:p w:rsidR="006E0518" w:rsidRDefault="006E0518" w:rsidP="006E0518">
      <w:pPr>
        <w:pStyle w:val="ConsPlusNormal"/>
        <w:widowControl/>
        <w:ind w:left="792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 xml:space="preserve">к муниципальной программе «Противодействие коррупции в администрации </w:t>
      </w:r>
      <w:proofErr w:type="spellStart"/>
      <w:r>
        <w:rPr>
          <w:rFonts w:ascii="Times New Roman" w:hAnsi="Times New Roman" w:cs="Times New Roman"/>
          <w:sz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на  2014–2015 годы»</w:t>
      </w:r>
    </w:p>
    <w:p w:rsidR="006E0518" w:rsidRDefault="006E0518" w:rsidP="006E0518">
      <w:pPr>
        <w:pStyle w:val="ConsPlusNormal"/>
        <w:widowControl/>
        <w:ind w:left="792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17.02.2014  №      9-п</w:t>
      </w:r>
    </w:p>
    <w:p w:rsidR="006E0518" w:rsidRDefault="006E0518" w:rsidP="006E051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0518" w:rsidRDefault="006E0518" w:rsidP="006E051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</w:t>
      </w:r>
    </w:p>
    <w:p w:rsidR="006E0518" w:rsidRDefault="006E0518" w:rsidP="006E0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муниципальной  программы  «Противодействие коррупции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6E0518" w:rsidRDefault="006E0518" w:rsidP="006E0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на  2014–2015 годы»</w:t>
      </w:r>
    </w:p>
    <w:tbl>
      <w:tblPr>
        <w:tblW w:w="149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75"/>
        <w:gridCol w:w="3584"/>
        <w:gridCol w:w="3651"/>
      </w:tblGrid>
      <w:tr w:rsidR="006E0518" w:rsidTr="006E0518">
        <w:trPr>
          <w:trHeight w:hRule="exact" w:val="32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6E0518" w:rsidTr="006E0518">
        <w:trPr>
          <w:trHeight w:val="307"/>
        </w:trPr>
        <w:tc>
          <w:tcPr>
            <w:tcW w:w="1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1. Нормативно-правовое обеспечение профилактики коррупционных правонарушений</w:t>
            </w:r>
          </w:p>
        </w:tc>
      </w:tr>
      <w:tr w:rsidR="006E0518" w:rsidTr="006E0518">
        <w:trPr>
          <w:trHeight w:hRule="exact" w:val="1263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34" w:right="336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1.1. Провести корректировку  нормативно-правовых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актов муниципального образования 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направленности с учетом изменения законодательства в данной среде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09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МО  </w:t>
            </w:r>
            <w:proofErr w:type="spellStart"/>
            <w:r>
              <w:rPr>
                <w:sz w:val="28"/>
                <w:szCs w:val="28"/>
                <w:lang w:eastAsia="en-US"/>
              </w:rPr>
              <w:t>Придолинный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2014-2015 гг.</w:t>
            </w:r>
          </w:p>
        </w:tc>
      </w:tr>
      <w:tr w:rsidR="006E0518" w:rsidTr="006E0518">
        <w:trPr>
          <w:trHeight w:val="307"/>
        </w:trPr>
        <w:tc>
          <w:tcPr>
            <w:tcW w:w="1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2. Основные мероприятия по профилактике коррупционных правонарушений</w:t>
            </w:r>
          </w:p>
        </w:tc>
      </w:tr>
      <w:tr w:rsidR="006E0518" w:rsidTr="006E0518">
        <w:trPr>
          <w:trHeight w:hRule="exact" w:val="6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2.1. Проведение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мониторинга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" w:right="14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</w:tr>
      <w:tr w:rsidR="006E0518" w:rsidTr="006E0518">
        <w:trPr>
          <w:trHeight w:hRule="exact" w:val="133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8" w:right="149"/>
              <w:rPr>
                <w:sz w:val="28"/>
                <w:szCs w:val="28"/>
                <w:lang w:eastAsia="ar-SA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2.2. Мониторинг муниципальных нормативно-правовых актов с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целью устранения дублирования, противоречий, расплывчивости </w:t>
            </w:r>
            <w:r>
              <w:rPr>
                <w:spacing w:val="-1"/>
                <w:sz w:val="28"/>
                <w:szCs w:val="28"/>
                <w:lang w:eastAsia="en-US"/>
              </w:rPr>
              <w:t>формулировок, способствующих проявлению коррупции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sz w:val="28"/>
                <w:szCs w:val="28"/>
                <w:lang w:eastAsia="ar-SA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Комиссия  по противодействию коррупции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</w:tr>
      <w:tr w:rsidR="006E0518" w:rsidTr="006E0518">
        <w:trPr>
          <w:trHeight w:hRule="exact" w:val="9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4" w:right="538"/>
              <w:rPr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2.3. Проведение оценки деятельности администрации МО на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основании типовых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схем оценки эффективности деятельности </w:t>
            </w:r>
            <w:r>
              <w:rPr>
                <w:sz w:val="28"/>
                <w:szCs w:val="28"/>
                <w:lang w:eastAsia="en-US"/>
              </w:rPr>
              <w:t>органов местного самоуправления</w:t>
            </w:r>
            <w:proofErr w:type="gramEnd"/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Один раз в год</w:t>
            </w:r>
          </w:p>
        </w:tc>
      </w:tr>
      <w:tr w:rsidR="006E0518" w:rsidTr="006E0518">
        <w:trPr>
          <w:trHeight w:hRule="exact" w:val="6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24" w:right="48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2.4. Анализ исполнения служебных полномочий муниципальными </w:t>
            </w:r>
            <w:r>
              <w:rPr>
                <w:sz w:val="28"/>
                <w:szCs w:val="28"/>
                <w:lang w:eastAsia="en-US"/>
              </w:rPr>
              <w:t>служащими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Один раз в полгода</w:t>
            </w:r>
          </w:p>
        </w:tc>
      </w:tr>
      <w:tr w:rsidR="006E0518" w:rsidTr="006E0518">
        <w:trPr>
          <w:trHeight w:hRule="exact" w:val="6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187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2.5. Анализ исполнения должностных инструкций муниципальными служащими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Один раз в полгода</w:t>
            </w:r>
          </w:p>
        </w:tc>
      </w:tr>
      <w:tr w:rsidR="006E0518" w:rsidTr="006E0518">
        <w:trPr>
          <w:trHeight w:hRule="exact" w:val="619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34" w:right="283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2.6. Проверка соблюдения требований к служебному поведению </w:t>
            </w:r>
            <w:r>
              <w:rPr>
                <w:sz w:val="28"/>
                <w:szCs w:val="28"/>
                <w:lang w:eastAsia="en-US"/>
              </w:rPr>
              <w:t>муниципальных служащих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587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Органы местного самоуправления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По необходимости</w:t>
            </w:r>
          </w:p>
        </w:tc>
      </w:tr>
      <w:tr w:rsidR="006E0518" w:rsidTr="006E0518">
        <w:trPr>
          <w:trHeight w:hRule="exact" w:val="100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3" w:right="734"/>
              <w:rPr>
                <w:sz w:val="28"/>
                <w:szCs w:val="28"/>
                <w:lang w:eastAsia="ar-SA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lastRenderedPageBreak/>
              <w:t xml:space="preserve">2.7. Проверка своевременности и полноты представления 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декларации о доходах муниципальных </w:t>
            </w: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соблюдению </w:t>
            </w:r>
            <w:proofErr w:type="gramStart"/>
            <w:r>
              <w:rPr>
                <w:sz w:val="28"/>
                <w:szCs w:val="28"/>
                <w:lang w:eastAsia="en-US"/>
              </w:rPr>
              <w:t>требовании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служебному поведению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До 1 июня</w:t>
            </w:r>
          </w:p>
        </w:tc>
      </w:tr>
      <w:tr w:rsidR="006E0518" w:rsidTr="006E0518">
        <w:trPr>
          <w:trHeight w:hRule="exact" w:val="898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8" w:right="730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2.8. Издание и контроль исполнения нормативно-правовых </w:t>
            </w:r>
            <w:r>
              <w:rPr>
                <w:sz w:val="28"/>
                <w:szCs w:val="28"/>
                <w:lang w:eastAsia="en-US"/>
              </w:rPr>
              <w:t>актов, регулирующих организацию и прохождение муниципальной службы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6E0518" w:rsidTr="006E0518">
        <w:trPr>
          <w:trHeight w:hRule="exact" w:val="18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3" w:right="34" w:firstLine="10"/>
              <w:rPr>
                <w:sz w:val="28"/>
                <w:szCs w:val="28"/>
                <w:lang w:eastAsia="ar-SA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2.9. Проверка деятельности муниципальных служащих с целью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установления фактов занятий деятельностью, не предусмотренной законодательством о муниципальной службе (в части соблюдения </w:t>
            </w:r>
            <w:r>
              <w:rPr>
                <w:spacing w:val="-1"/>
                <w:sz w:val="28"/>
                <w:szCs w:val="28"/>
                <w:lang w:eastAsia="en-US"/>
              </w:rPr>
              <w:t>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2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МО, Комиссия по соблюдению требовании к служебному поведению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6E0518" w:rsidTr="006E0518">
        <w:trPr>
          <w:trHeight w:hRule="exact" w:val="112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8" w:rsidRDefault="006E0518">
            <w:pPr>
              <w:shd w:val="clear" w:color="auto" w:fill="FFFFFF"/>
              <w:spacing w:line="307" w:lineRule="exact"/>
              <w:ind w:left="67" w:right="254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2.10. Мероприятия по обеспечению прозрачности проведения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процедур, связанных с подрядами, тендерами. </w:t>
            </w:r>
          </w:p>
          <w:p w:rsidR="006E0518" w:rsidRDefault="006E0518">
            <w:pPr>
              <w:shd w:val="clear" w:color="auto" w:fill="FFFFFF"/>
              <w:spacing w:line="307" w:lineRule="exact"/>
              <w:ind w:left="67" w:right="254"/>
              <w:rPr>
                <w:spacing w:val="-2"/>
                <w:sz w:val="28"/>
                <w:szCs w:val="28"/>
                <w:lang w:eastAsia="en-US"/>
              </w:rPr>
            </w:pPr>
          </w:p>
          <w:p w:rsidR="006E0518" w:rsidRDefault="006E0518">
            <w:pPr>
              <w:shd w:val="clear" w:color="auto" w:fill="FFFFFF"/>
              <w:spacing w:line="307" w:lineRule="exact"/>
              <w:ind w:left="67" w:right="254"/>
              <w:rPr>
                <w:spacing w:val="-2"/>
                <w:sz w:val="28"/>
                <w:szCs w:val="28"/>
                <w:lang w:eastAsia="en-US"/>
              </w:rPr>
            </w:pPr>
          </w:p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67" w:right="254"/>
              <w:rPr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аукционами и т.д.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8" w:rsidRDefault="006E0518">
            <w:pPr>
              <w:shd w:val="clear" w:color="auto" w:fill="FFFFFF"/>
              <w:spacing w:line="307" w:lineRule="exact"/>
              <w:ind w:left="14" w:right="298" w:firstLine="5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Комиссия  по противодействию коррупции</w:t>
            </w:r>
          </w:p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4" w:right="298" w:firstLine="5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6E0518" w:rsidTr="006E0518">
        <w:trPr>
          <w:trHeight w:hRule="exact" w:val="69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shd w:val="clear" w:color="auto" w:fill="FFFFFF"/>
              <w:spacing w:line="276" w:lineRule="auto"/>
              <w:ind w:left="77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2.11. Проверка правильности выдачи разрешений, </w:t>
            </w:r>
          </w:p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7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согласований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Комиссия  по противодействию коррупции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6E0518" w:rsidTr="006E0518">
        <w:trPr>
          <w:trHeight w:val="1067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2.12. Проведение отчетов о работе за год главой сельсовета перед населением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органы местного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самоуправления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Один раз в год</w:t>
            </w:r>
          </w:p>
        </w:tc>
      </w:tr>
      <w:tr w:rsidR="006E0518" w:rsidTr="006E0518">
        <w:trPr>
          <w:trHeight w:hRule="exact" w:val="85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2.14. Организация </w:t>
            </w:r>
            <w:proofErr w:type="spellStart"/>
            <w:r>
              <w:rPr>
                <w:spacing w:val="-2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 xml:space="preserve"> пропаганды и правового </w:t>
            </w:r>
            <w:r>
              <w:rPr>
                <w:spacing w:val="-4"/>
                <w:sz w:val="28"/>
                <w:szCs w:val="28"/>
                <w:lang w:eastAsia="en-US"/>
              </w:rPr>
              <w:t>просвещения граждан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Комиссия по противодействию коррупции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Постоянно</w:t>
            </w:r>
          </w:p>
        </w:tc>
      </w:tr>
      <w:tr w:rsidR="006E0518" w:rsidTr="006E0518">
        <w:trPr>
          <w:trHeight w:hRule="exact" w:val="851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2.15. Проведение аттестации муниципальных служащих администрации сельсовета и ее структурных подразделений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spacing w:val="-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До 1 марта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pacing w:val="-3"/>
                  <w:sz w:val="28"/>
                  <w:szCs w:val="28"/>
                  <w:lang w:eastAsia="en-US"/>
                </w:rPr>
                <w:t>2014 г</w:t>
              </w:r>
            </w:smartTag>
            <w:r>
              <w:rPr>
                <w:spacing w:val="-3"/>
                <w:sz w:val="28"/>
                <w:szCs w:val="28"/>
                <w:lang w:eastAsia="en-US"/>
              </w:rPr>
              <w:t>.</w:t>
            </w:r>
          </w:p>
        </w:tc>
      </w:tr>
      <w:tr w:rsidR="006E0518" w:rsidTr="006E0518">
        <w:trPr>
          <w:trHeight w:hRule="exact" w:val="1924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18" w:rsidRDefault="006E0518">
            <w:pPr>
              <w:shd w:val="clear" w:color="auto" w:fill="FFFFFF"/>
              <w:spacing w:line="276" w:lineRule="auto"/>
              <w:ind w:left="86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2.16. Обеспечение прозрачности действий органов местного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самоуправления путем информирования населения через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публикации в газете «Маяк» и обнародование принимаемых </w:t>
            </w:r>
            <w:r>
              <w:rPr>
                <w:sz w:val="28"/>
                <w:szCs w:val="28"/>
                <w:lang w:eastAsia="en-US"/>
              </w:rPr>
              <w:t xml:space="preserve">документов, обеспечение доступности для населения к </w:t>
            </w:r>
            <w:r>
              <w:rPr>
                <w:spacing w:val="-1"/>
                <w:sz w:val="28"/>
                <w:szCs w:val="28"/>
                <w:lang w:eastAsia="en-US"/>
              </w:rPr>
              <w:t>документам, принятым органами местного самоуправления</w:t>
            </w:r>
          </w:p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Органы местного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самоуправления, Редакция </w:t>
            </w:r>
            <w:r>
              <w:rPr>
                <w:sz w:val="28"/>
                <w:szCs w:val="28"/>
                <w:lang w:eastAsia="en-US"/>
              </w:rPr>
              <w:t xml:space="preserve">газеты «Маяк»,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0518" w:rsidRDefault="006E05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6E0518" w:rsidRDefault="006E0518" w:rsidP="006E0518">
      <w:pPr>
        <w:shd w:val="clear" w:color="auto" w:fill="FFFFFF"/>
        <w:spacing w:after="1162" w:line="326" w:lineRule="exact"/>
        <w:ind w:left="4973"/>
        <w:rPr>
          <w:sz w:val="28"/>
          <w:szCs w:val="28"/>
          <w:lang w:eastAsia="ar-SA"/>
        </w:rPr>
      </w:pPr>
    </w:p>
    <w:p w:rsidR="006E0518" w:rsidRDefault="006E0518" w:rsidP="006E0518">
      <w:pPr>
        <w:sectPr w:rsidR="006E0518">
          <w:pgSz w:w="16834" w:h="11909" w:orient="landscape"/>
          <w:pgMar w:top="709" w:right="3239" w:bottom="360" w:left="1159" w:header="720" w:footer="720" w:gutter="0"/>
          <w:cols w:space="720"/>
        </w:sectPr>
      </w:pPr>
    </w:p>
    <w:p w:rsidR="006E0518" w:rsidRDefault="006E0518" w:rsidP="006E0518">
      <w:pPr>
        <w:pStyle w:val="ConsPlusCel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Характеристика  проблемы.</w:t>
      </w:r>
    </w:p>
    <w:p w:rsidR="006E0518" w:rsidRDefault="006E0518" w:rsidP="006E05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администрации </w:t>
      </w:r>
      <w:proofErr w:type="spellStart"/>
      <w:r>
        <w:rPr>
          <w:sz w:val="28"/>
          <w:szCs w:val="28"/>
        </w:rPr>
        <w:t>Придолинного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 Оренбургской области, активно реализуется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в рамках требований Федерального закона от 25.12.2008 N 273-ФЗ "О противодействии коррупции",   Закона  Оренбургской области от 15.09.2008 N 2369/497-IV-ОЗ "О противодействии коррупции в Оренбургской области".</w:t>
      </w: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Муниципальные правовые акты администрации  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приведены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Оренбургской области по вопросам противодействия коррупции.</w:t>
      </w:r>
      <w:proofErr w:type="gramEnd"/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органах местного самоуправления  является проведение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мониторинга, главная цель которого - формирование объективной оценки уровня коррупции и эффективности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для своевременного предупреждения, выявления и устранения последствий коррупционных проявлений на основе принимаемых управленческих решений.</w:t>
      </w: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обобщаются и направляются в Правительство Оренбургской области в целях проведения единой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области.</w:t>
      </w: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на момент принятия программы не выявлено   фактов злоупотребления муниципальными служащими служебным положением, предусматривающих административную и дисциплинарную ответственность.</w:t>
      </w: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противодействия коррупции в органах местного самоуправления  освещается в СМИ,  муниципальные нормативные правовые акты администрации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 размещаются на официальном сайте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 в сети "Интернет".</w:t>
      </w: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прозрачности деятельности администрации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и ее структурных подразделений в рамках Федерального закона от 27.07.2010 N 210-ФЗ "Об организации предоставления государственных и муниципальных услуг" организовано предоставление муниципальных услуг в соответствии с административными регламентами, размещенными на официальном сайте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сети "Интернет".</w:t>
      </w:r>
      <w:proofErr w:type="gramEnd"/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организованы и обеспечиваются меры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 при размещении муниципальных заказов.</w:t>
      </w: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Несмотря на </w:t>
      </w:r>
      <w:proofErr w:type="gramStart"/>
      <w:r>
        <w:rPr>
          <w:sz w:val="28"/>
          <w:szCs w:val="28"/>
        </w:rPr>
        <w:t>вышеуказанное</w:t>
      </w:r>
      <w:proofErr w:type="gramEnd"/>
      <w:r>
        <w:rPr>
          <w:sz w:val="28"/>
          <w:szCs w:val="28"/>
        </w:rPr>
        <w:t>, коррупция представляет собой реальную угрозу нормальному функционированию органов местного самоуправления, верховенству закона, соблюдению прав и законных интересов населения и соблюдению общественных интересов. Решать возможные  проблемы органы местного самоуправления намерены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6E0518" w:rsidRDefault="006E0518" w:rsidP="006E051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является   составной частью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на территории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 Оренбургской области, она определяет комплекс мероприятий, направленных на противодействие коррупции на территории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согласно приложению к муниципальной программе.</w:t>
      </w:r>
    </w:p>
    <w:p w:rsidR="006E0518" w:rsidRDefault="006E0518" w:rsidP="006E0518">
      <w:pPr>
        <w:shd w:val="clear" w:color="auto" w:fill="FFFFFF"/>
        <w:tabs>
          <w:tab w:val="left" w:pos="8645"/>
        </w:tabs>
        <w:ind w:left="34" w:right="77" w:firstLine="672"/>
        <w:rPr>
          <w:bCs/>
          <w:color w:val="393939"/>
          <w:spacing w:val="-3"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color w:val="404040"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Основные цели, задачи, </w:t>
      </w:r>
      <w:r>
        <w:rPr>
          <w:bCs/>
          <w:spacing w:val="-3"/>
          <w:sz w:val="28"/>
          <w:szCs w:val="28"/>
        </w:rPr>
        <w:t xml:space="preserve"> сроки и этапы  реализации программы</w:t>
      </w:r>
      <w:r>
        <w:rPr>
          <w:bCs/>
          <w:color w:val="393939"/>
          <w:spacing w:val="-3"/>
          <w:sz w:val="28"/>
          <w:szCs w:val="28"/>
        </w:rPr>
        <w:t>.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-устранение причин, порождающих коррупцию, противодействие условиям, способствующим ее проявлениям, формирование единой политики борьбы с коррупцией;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-реализация системы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мер, включающей в себя комплекс мероприятий, направленных на устранение причин и условий, порождающих коррупцию, способствующих ее распространению;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 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сельсовет;</w:t>
      </w:r>
    </w:p>
    <w:p w:rsidR="006E0518" w:rsidRDefault="006E0518" w:rsidP="006E0518">
      <w:pPr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Для достижения  поставленных  целей необходимо решить  следующие  задачи:</w:t>
      </w:r>
    </w:p>
    <w:p w:rsidR="006E0518" w:rsidRDefault="006E0518" w:rsidP="006E0518">
      <w:pPr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-внедрение </w:t>
      </w:r>
      <w:proofErr w:type="gramStart"/>
      <w:r>
        <w:rPr>
          <w:sz w:val="28"/>
          <w:szCs w:val="28"/>
        </w:rPr>
        <w:t>механизмов экспертизы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района;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коррупционных правонарушений;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-минимизация условий, порождающих коррупцию;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открытости процесса принятия решений должностными лицами администрации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и муниципальными служащими;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администрацией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технологий;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-информирование населения сельсовета о состоянии противодействия  коррупции на территории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6E0518" w:rsidRDefault="006E0518" w:rsidP="006E0518">
      <w:pPr>
        <w:shd w:val="clear" w:color="auto" w:fill="FFFFFF"/>
        <w:ind w:right="130" w:firstLine="567"/>
        <w:rPr>
          <w:bCs/>
          <w:color w:val="393939"/>
          <w:spacing w:val="-4"/>
          <w:sz w:val="28"/>
          <w:szCs w:val="28"/>
        </w:rPr>
      </w:pPr>
      <w:r>
        <w:rPr>
          <w:sz w:val="28"/>
          <w:szCs w:val="28"/>
        </w:rPr>
        <w:t>3. Срок реализации программы: 2014-2015 годы.</w:t>
      </w:r>
      <w:r>
        <w:rPr>
          <w:bCs/>
          <w:color w:val="393939"/>
          <w:spacing w:val="-4"/>
          <w:sz w:val="28"/>
          <w:szCs w:val="28"/>
        </w:rPr>
        <w:t xml:space="preserve"> </w:t>
      </w:r>
    </w:p>
    <w:p w:rsidR="006E0518" w:rsidRDefault="006E0518" w:rsidP="006E0518">
      <w:pPr>
        <w:shd w:val="clear" w:color="auto" w:fill="FFFFFF"/>
        <w:ind w:right="130" w:firstLine="567"/>
        <w:rPr>
          <w:bCs/>
          <w:color w:val="393939"/>
          <w:spacing w:val="-4"/>
          <w:sz w:val="28"/>
          <w:szCs w:val="28"/>
        </w:rPr>
      </w:pPr>
      <w:r>
        <w:rPr>
          <w:bCs/>
          <w:color w:val="393939"/>
          <w:spacing w:val="-4"/>
          <w:sz w:val="28"/>
          <w:szCs w:val="28"/>
        </w:rPr>
        <w:t>4. Ожидаемые  результаты  реализации  программы.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целевыми индикаторами  и показателями  характеризующими исполнение  программы являются: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-количество муниципальных правовых актов, приведенных в  </w:t>
      </w:r>
      <w:r>
        <w:rPr>
          <w:sz w:val="28"/>
          <w:szCs w:val="28"/>
        </w:rPr>
        <w:br/>
        <w:t xml:space="preserve">соответствие с требованиями федеральных законов,    нормативных правовых актов федеральных и государственных   органов и нормативных правовых актов органов   государственной власти Оренбургской области;              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нормативных правовых актов администрации 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района, проектов нормативных правовых актов   администрации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района, прошедших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                                       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муниципальных служащих, в должностные  обязанности которых входит участие в противодействии   коррупции, повысивших квалификацию;                       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размещенных в средствах массовой информации и</w:t>
      </w:r>
      <w:r>
        <w:rPr>
          <w:sz w:val="28"/>
          <w:szCs w:val="28"/>
        </w:rPr>
        <w:br/>
        <w:t xml:space="preserve">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br/>
        <w:t xml:space="preserve"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   предоставлять указанные сведения;                         </w:t>
      </w:r>
    </w:p>
    <w:p w:rsidR="006E0518" w:rsidRDefault="006E0518" w:rsidP="006E0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информации, размещенной в средствах массовой </w:t>
      </w:r>
      <w:r>
        <w:rPr>
          <w:sz w:val="28"/>
          <w:szCs w:val="28"/>
        </w:rPr>
        <w:br/>
        <w:t xml:space="preserve">информации,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пропаганде среди  жителей  муниципального образования 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6E0518" w:rsidRDefault="006E0518" w:rsidP="006E0518">
      <w:pPr>
        <w:pStyle w:val="ConsPlusNormal"/>
        <w:jc w:val="both"/>
      </w:pPr>
    </w:p>
    <w:p w:rsidR="006E0518" w:rsidRDefault="006E0518" w:rsidP="006E0518">
      <w:pPr>
        <w:shd w:val="clear" w:color="auto" w:fill="FFFFFF"/>
        <w:ind w:right="130"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5. Ресурсное  обеспечение  программы.</w:t>
      </w:r>
    </w:p>
    <w:p w:rsidR="006E0518" w:rsidRDefault="006E0518" w:rsidP="006E0518">
      <w:pPr>
        <w:shd w:val="clear" w:color="auto" w:fill="FFFFFF"/>
        <w:ind w:right="130" w:firstLine="708"/>
        <w:rPr>
          <w:bCs/>
          <w:spacing w:val="-4"/>
          <w:sz w:val="28"/>
          <w:szCs w:val="28"/>
        </w:rPr>
      </w:pPr>
    </w:p>
    <w:p w:rsidR="006E0518" w:rsidRDefault="006E0518" w:rsidP="006E0518">
      <w:pPr>
        <w:shd w:val="clear" w:color="auto" w:fill="FFFFFF"/>
        <w:ind w:right="130" w:firstLine="708"/>
        <w:jc w:val="both"/>
      </w:pPr>
      <w:r>
        <w:rPr>
          <w:bCs/>
          <w:spacing w:val="-4"/>
          <w:sz w:val="28"/>
          <w:szCs w:val="28"/>
        </w:rPr>
        <w:t xml:space="preserve">Финансовые  затрат  на  реализацию  программы производится   из  бюджета  муниципального образования в пределах смет расходов учреждений. </w:t>
      </w:r>
    </w:p>
    <w:p w:rsidR="006E0518" w:rsidRDefault="006E0518" w:rsidP="006E0518">
      <w:pPr>
        <w:shd w:val="clear" w:color="auto" w:fill="FFFFFF"/>
        <w:ind w:right="130" w:firstLine="708"/>
        <w:rPr>
          <w:sz w:val="28"/>
          <w:szCs w:val="28"/>
        </w:rPr>
      </w:pPr>
    </w:p>
    <w:p w:rsidR="006E0518" w:rsidRDefault="006E0518" w:rsidP="006E0518">
      <w:pPr>
        <w:shd w:val="clear" w:color="auto" w:fill="FFFFFF"/>
        <w:ind w:right="130" w:firstLine="708"/>
        <w:rPr>
          <w:sz w:val="28"/>
          <w:szCs w:val="28"/>
        </w:rPr>
      </w:pPr>
      <w:r>
        <w:rPr>
          <w:sz w:val="28"/>
          <w:szCs w:val="28"/>
        </w:rPr>
        <w:t>6. Механизм  реализации, система управления  реализацией  программы и контроль хода ее реализации.</w:t>
      </w:r>
    </w:p>
    <w:p w:rsidR="006E0518" w:rsidRDefault="006E0518" w:rsidP="006E0518">
      <w:pPr>
        <w:shd w:val="clear" w:color="auto" w:fill="FFFFFF"/>
        <w:ind w:right="130" w:firstLine="708"/>
        <w:rPr>
          <w:sz w:val="28"/>
          <w:szCs w:val="28"/>
        </w:rPr>
      </w:pP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осуществляется администрацией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района, и исполнителями основных мероприятий настоящей Программы.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Программы: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реализуют запланированные мероприятия в рамках своей компетенции;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подготавливают ежегодно в установленном порядке отчет о реализации Программы и вносят предложения по уточнению перечня программных мероприятий на очередной финансовый год;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несут ответственность за своевременную, качественную подготовку и реализацию мероприятий Программы.</w:t>
      </w:r>
    </w:p>
    <w:p w:rsidR="006E0518" w:rsidRDefault="006E0518" w:rsidP="006E0518">
      <w:pPr>
        <w:ind w:firstLine="540"/>
        <w:jc w:val="both"/>
        <w:rPr>
          <w:rFonts w:cs="Calibri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Совет по противодействию коррупции при главе 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района.</w:t>
      </w:r>
    </w:p>
    <w:p w:rsidR="006E0518" w:rsidRDefault="006E0518" w:rsidP="006E0518">
      <w:pPr>
        <w:shd w:val="clear" w:color="auto" w:fill="FFFFFF"/>
        <w:ind w:right="130"/>
        <w:rPr>
          <w:bCs/>
          <w:color w:val="393939"/>
          <w:spacing w:val="-4"/>
          <w:sz w:val="28"/>
          <w:szCs w:val="28"/>
        </w:rPr>
      </w:pPr>
    </w:p>
    <w:p w:rsidR="006E0518" w:rsidRDefault="006E0518" w:rsidP="006E0518">
      <w:pPr>
        <w:ind w:firstLine="540"/>
        <w:rPr>
          <w:sz w:val="28"/>
          <w:szCs w:val="28"/>
        </w:rPr>
      </w:pPr>
      <w:r>
        <w:rPr>
          <w:color w:val="393939"/>
          <w:spacing w:val="-4"/>
          <w:sz w:val="28"/>
          <w:szCs w:val="28"/>
        </w:rPr>
        <w:t xml:space="preserve">7. </w:t>
      </w:r>
      <w:r>
        <w:rPr>
          <w:sz w:val="28"/>
          <w:szCs w:val="28"/>
        </w:rPr>
        <w:t>Ожидаемый (планируемый)  эффект  от реализации  программы.</w:t>
      </w:r>
    </w:p>
    <w:p w:rsidR="006E0518" w:rsidRDefault="006E0518" w:rsidP="006E0518">
      <w:pPr>
        <w:shd w:val="clear" w:color="auto" w:fill="FFFFFF"/>
        <w:ind w:right="130" w:firstLine="540"/>
        <w:rPr>
          <w:bCs/>
          <w:color w:val="404040"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В результате  реализации данной программы ожидается</w:t>
      </w:r>
      <w:r>
        <w:rPr>
          <w:bCs/>
          <w:color w:val="404040"/>
          <w:spacing w:val="-5"/>
          <w:sz w:val="28"/>
          <w:szCs w:val="28"/>
        </w:rPr>
        <w:t>:</w:t>
      </w:r>
    </w:p>
    <w:p w:rsidR="006E0518" w:rsidRDefault="006E0518" w:rsidP="006E0518">
      <w:pPr>
        <w:shd w:val="clear" w:color="auto" w:fill="FFFFFF"/>
        <w:ind w:right="130" w:firstLine="540"/>
        <w:rPr>
          <w:bCs/>
          <w:color w:val="404040"/>
          <w:spacing w:val="-5"/>
          <w:sz w:val="28"/>
          <w:szCs w:val="28"/>
        </w:rPr>
      </w:pPr>
      <w:r>
        <w:rPr>
          <w:bCs/>
          <w:color w:val="404040"/>
          <w:spacing w:val="-5"/>
          <w:sz w:val="28"/>
          <w:szCs w:val="28"/>
        </w:rPr>
        <w:t>- н</w:t>
      </w:r>
      <w:r>
        <w:rPr>
          <w:sz w:val="28"/>
          <w:szCs w:val="28"/>
        </w:rPr>
        <w:t xml:space="preserve">едопущение появления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правовых актах администрации муниципального образования 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сельсовет.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беспечение прозрачности принятия правовых актов администрации муниципального образования 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района.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доверия населения к органам местного самоуправления.</w:t>
      </w:r>
    </w:p>
    <w:p w:rsidR="006E0518" w:rsidRDefault="006E0518" w:rsidP="006E051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кадровой политики в органах местного самоуправления 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информации о фактах коррупции, ее обобщение и анализ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направлений в деятельности администрации муниципального образования 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района.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общественности к проблеме противодействия коррупции.</w:t>
      </w:r>
    </w:p>
    <w:p w:rsidR="006E0518" w:rsidRDefault="006E0518" w:rsidP="006E0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максимальной доступности муниципальных услуг для населения.</w:t>
      </w:r>
    </w:p>
    <w:p w:rsidR="006E0518" w:rsidRDefault="006E0518" w:rsidP="006E0518">
      <w:pPr>
        <w:ind w:firstLine="540"/>
        <w:jc w:val="both"/>
      </w:pPr>
      <w:r>
        <w:rPr>
          <w:sz w:val="28"/>
          <w:szCs w:val="28"/>
        </w:rPr>
        <w:t xml:space="preserve">- минимизация возможности проявлений коррупции среди муниципальных служащих и должностных лиц администрации при работе с </w:t>
      </w:r>
      <w:proofErr w:type="gramStart"/>
      <w:r>
        <w:rPr>
          <w:sz w:val="28"/>
          <w:szCs w:val="28"/>
        </w:rPr>
        <w:t>физическими</w:t>
      </w:r>
      <w:proofErr w:type="gramEnd"/>
      <w:r>
        <w:rPr>
          <w:sz w:val="28"/>
          <w:szCs w:val="28"/>
        </w:rPr>
        <w:t xml:space="preserve"> и юридическими лицам.</w:t>
      </w:r>
    </w:p>
    <w:p w:rsidR="006E0518" w:rsidRDefault="006E0518" w:rsidP="006E0518">
      <w:pPr>
        <w:shd w:val="clear" w:color="auto" w:fill="FFFFFF"/>
        <w:spacing w:before="480" w:line="331" w:lineRule="exact"/>
        <w:ind w:left="24"/>
        <w:rPr>
          <w:sz w:val="20"/>
          <w:szCs w:val="20"/>
        </w:rPr>
      </w:pPr>
    </w:p>
    <w:p w:rsidR="006E0518" w:rsidRDefault="006E0518" w:rsidP="006E0518">
      <w:pPr>
        <w:jc w:val="both"/>
        <w:rPr>
          <w:sz w:val="28"/>
          <w:szCs w:val="28"/>
        </w:rPr>
      </w:pPr>
    </w:p>
    <w:p w:rsidR="00543FFE" w:rsidRDefault="00543FFE"/>
    <w:sectPr w:rsidR="00543FFE" w:rsidSect="0054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5996"/>
    <w:multiLevelType w:val="hybridMultilevel"/>
    <w:tmpl w:val="845C6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518"/>
    <w:rsid w:val="00543FFE"/>
    <w:rsid w:val="006E0518"/>
    <w:rsid w:val="008B5479"/>
    <w:rsid w:val="00ED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0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E05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6E051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E0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6E05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E0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0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5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6E0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2474</Words>
  <Characters>14107</Characters>
  <Application>Microsoft Office Word</Application>
  <DocSecurity>0</DocSecurity>
  <Lines>117</Lines>
  <Paragraphs>33</Paragraphs>
  <ScaleCrop>false</ScaleCrop>
  <Company>Microsoft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2014-03-31T05:18:00Z</dcterms:created>
  <dcterms:modified xsi:type="dcterms:W3CDTF">2014-03-31T05:18:00Z</dcterms:modified>
</cp:coreProperties>
</file>